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25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6ED"/>
        <w:tblLayout w:type="autofit"/>
        <w:tblCellMar>
          <w:top w:w="0" w:type="dxa"/>
          <w:left w:w="0" w:type="dxa"/>
          <w:bottom w:w="0" w:type="dxa"/>
          <w:right w:w="0" w:type="dxa"/>
        </w:tblCellMar>
      </w:tblPr>
      <w:tblGrid>
        <w:gridCol w:w="1113"/>
        <w:gridCol w:w="934"/>
        <w:gridCol w:w="2385"/>
        <w:gridCol w:w="3240"/>
        <w:gridCol w:w="1868"/>
        <w:gridCol w:w="1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6ED"/>
          <w:tblCellMar>
            <w:top w:w="0" w:type="dxa"/>
            <w:left w:w="0" w:type="dxa"/>
            <w:bottom w:w="0" w:type="dxa"/>
            <w:right w:w="0" w:type="dxa"/>
          </w:tblCellMar>
        </w:tblPrEx>
        <w:trPr>
          <w:trHeight w:val="390" w:hRule="atLeast"/>
          <w:tblCellSpacing w:w="0" w:type="dxa"/>
          <w:jc w:val="center"/>
        </w:trPr>
        <w:tc>
          <w:tcPr>
            <w:tcW w:w="840"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222222"/>
                <w:spacing w:val="0"/>
                <w:sz w:val="21"/>
                <w:szCs w:val="21"/>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222222"/>
                <w:spacing w:val="0"/>
                <w:sz w:val="21"/>
                <w:szCs w:val="21"/>
                <w:bdr w:val="none" w:color="auto" w:sz="0" w:space="0"/>
              </w:rPr>
              <w:t>类别</w:t>
            </w:r>
          </w:p>
        </w:tc>
        <w:tc>
          <w:tcPr>
            <w:tcW w:w="705"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222222"/>
                <w:spacing w:val="0"/>
                <w:sz w:val="21"/>
                <w:szCs w:val="21"/>
                <w:bdr w:val="none" w:color="auto" w:sz="0" w:space="0"/>
              </w:rPr>
              <w:t>年薪</w:t>
            </w:r>
          </w:p>
        </w:tc>
        <w:tc>
          <w:tcPr>
            <w:tcW w:w="1800"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222222"/>
                <w:spacing w:val="0"/>
                <w:sz w:val="21"/>
                <w:szCs w:val="21"/>
                <w:bdr w:val="none" w:color="auto" w:sz="0" w:space="0"/>
              </w:rPr>
              <w:t>职称评定</w:t>
            </w:r>
          </w:p>
        </w:tc>
        <w:tc>
          <w:tcPr>
            <w:tcW w:w="2445"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222222"/>
                <w:spacing w:val="0"/>
                <w:sz w:val="21"/>
                <w:szCs w:val="21"/>
                <w:bdr w:val="none" w:color="auto" w:sz="0" w:space="0"/>
              </w:rPr>
              <w:t>海外培训</w:t>
            </w:r>
          </w:p>
        </w:tc>
        <w:tc>
          <w:tcPr>
            <w:tcW w:w="1410"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222222"/>
                <w:spacing w:val="0"/>
                <w:sz w:val="21"/>
                <w:szCs w:val="21"/>
                <w:bdr w:val="none" w:color="auto" w:sz="0" w:space="0"/>
              </w:rPr>
              <w:t>择优选留</w:t>
            </w:r>
          </w:p>
        </w:tc>
        <w:tc>
          <w:tcPr>
            <w:tcW w:w="1290"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5"/>
                <w:rFonts w:hint="eastAsia" w:ascii="宋体" w:hAnsi="宋体" w:eastAsia="宋体" w:cs="宋体"/>
                <w:i w:val="0"/>
                <w:caps w:val="0"/>
                <w:color w:val="222222"/>
                <w:spacing w:val="0"/>
                <w:sz w:val="21"/>
                <w:szCs w:val="21"/>
                <w:bdr w:val="none" w:color="auto" w:sz="0" w:space="0"/>
              </w:rPr>
              <w:t>其他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6ED"/>
          <w:tblCellMar>
            <w:top w:w="0" w:type="dxa"/>
            <w:left w:w="0" w:type="dxa"/>
            <w:bottom w:w="0" w:type="dxa"/>
            <w:right w:w="0" w:type="dxa"/>
          </w:tblCellMar>
        </w:tblPrEx>
        <w:trPr>
          <w:trHeight w:val="390" w:hRule="atLeast"/>
          <w:tblCellSpacing w:w="0" w:type="dxa"/>
          <w:jc w:val="center"/>
        </w:trPr>
        <w:tc>
          <w:tcPr>
            <w:tcW w:w="840"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222222"/>
                <w:spacing w:val="0"/>
                <w:sz w:val="21"/>
                <w:szCs w:val="21"/>
                <w:bdr w:val="none" w:color="auto" w:sz="0" w:space="0"/>
              </w:rPr>
              <w:t>国内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222222"/>
                <w:spacing w:val="0"/>
                <w:sz w:val="21"/>
                <w:szCs w:val="21"/>
                <w:bdr w:val="none" w:color="auto" w:sz="0" w:space="0"/>
              </w:rPr>
              <w:t>博士后</w:t>
            </w:r>
          </w:p>
        </w:tc>
        <w:tc>
          <w:tcPr>
            <w:tcW w:w="705"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222222"/>
                <w:spacing w:val="0"/>
                <w:sz w:val="21"/>
                <w:szCs w:val="21"/>
                <w:bdr w:val="none" w:color="auto" w:sz="0" w:space="0"/>
              </w:rPr>
              <w:t>18万元起上不封顶</w:t>
            </w:r>
          </w:p>
        </w:tc>
        <w:tc>
          <w:tcPr>
            <w:tcW w:w="1800"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222222"/>
                <w:spacing w:val="0"/>
                <w:sz w:val="21"/>
                <w:szCs w:val="21"/>
                <w:bdr w:val="none" w:color="auto" w:sz="0" w:space="0"/>
              </w:rPr>
              <w:t>博士后研究人员出站后，经本人申请、院校审核批准后，可推荐参加职称评审，指标单列。</w:t>
            </w:r>
          </w:p>
        </w:tc>
        <w:tc>
          <w:tcPr>
            <w:tcW w:w="2445"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222222"/>
                <w:spacing w:val="0"/>
                <w:sz w:val="21"/>
                <w:szCs w:val="21"/>
                <w:bdr w:val="none" w:color="auto" w:sz="0" w:space="0"/>
              </w:rPr>
              <w:t>支持博士后研究人员出国（境）与国际知名大学或研究机构开展科研合作与学术交流，出国合作经费由学校和设岗单位（含合作导师）按1:1承担。</w:t>
            </w:r>
          </w:p>
        </w:tc>
        <w:tc>
          <w:tcPr>
            <w:tcW w:w="1410"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222222"/>
                <w:spacing w:val="0"/>
                <w:sz w:val="21"/>
                <w:szCs w:val="21"/>
                <w:bdr w:val="none" w:color="auto" w:sz="0" w:space="0"/>
              </w:rPr>
              <w:t>被评为优秀博士后的人选可优先申报学校专任教师岗位或专职科研岗位。</w:t>
            </w:r>
          </w:p>
        </w:tc>
        <w:tc>
          <w:tcPr>
            <w:tcW w:w="1290"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222222"/>
                <w:spacing w:val="0"/>
                <w:sz w:val="21"/>
                <w:szCs w:val="21"/>
                <w:bdr w:val="none" w:color="auto" w:sz="0" w:space="0"/>
              </w:rPr>
              <w:t>其它待遇参照学校“非升即走”专任教师待遇执行，可就近安排入住学校公寓。</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shd w:val="clear" w:fill="F9F6ED"/>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B2598"/>
    <w:rsid w:val="68BB2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2020-02-12T08:56:00Z</dcterms:created>
  <dc:creator>那时花开咖啡馆。</dc:creator>
  <cp:lastModifiedBy>那时花开咖啡馆。</cp:lastModifiedBy>
  <dcterms:modified xsi:type="dcterms:W3CDTF">2020-02-12T08:57:04Z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